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EC" w:rsidRDefault="008932C2" w:rsidP="008932C2">
      <w:pPr>
        <w:jc w:val="center"/>
      </w:pPr>
      <w:r>
        <w:rPr>
          <w:b/>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8.55pt;margin-top:15.65pt;width:567.9pt;height:53.85pt;z-index:251658240" filled="f" stroked="f">
            <v:textbox>
              <w:txbxContent>
                <w:p w:rsidR="008932C2" w:rsidRPr="008932C2" w:rsidRDefault="008932C2">
                  <w:pPr>
                    <w:rPr>
                      <w:rFonts w:ascii="Times New Roman" w:hAnsi="Times New Roman" w:cs="Times New Roman"/>
                      <w:sz w:val="20"/>
                      <w:szCs w:val="20"/>
                    </w:rPr>
                  </w:pPr>
                  <w:r>
                    <w:rPr>
                      <w:rFonts w:ascii="Times New Roman" w:hAnsi="Times New Roman" w:cs="Times New Roman"/>
                      <w:b/>
                      <w:sz w:val="20"/>
                      <w:szCs w:val="20"/>
                    </w:rPr>
                    <w:t xml:space="preserve">Doc. 1 </w:t>
                  </w:r>
                  <w:r w:rsidRPr="008932C2">
                    <w:rPr>
                      <w:rFonts w:ascii="Times New Roman" w:hAnsi="Times New Roman" w:cs="Times New Roman"/>
                      <w:b/>
                      <w:sz w:val="20"/>
                      <w:szCs w:val="20"/>
                    </w:rPr>
                    <w:t>Port</w:t>
                  </w:r>
                  <w:r w:rsidR="00B736E7">
                    <w:rPr>
                      <w:rFonts w:ascii="Times New Roman" w:hAnsi="Times New Roman" w:cs="Times New Roman"/>
                      <w:b/>
                      <w:sz w:val="20"/>
                      <w:szCs w:val="20"/>
                    </w:rPr>
                    <w:t>s</w:t>
                  </w:r>
                  <w:r w:rsidRPr="008932C2">
                    <w:rPr>
                      <w:rFonts w:ascii="Times New Roman" w:hAnsi="Times New Roman" w:cs="Times New Roman"/>
                      <w:b/>
                      <w:sz w:val="20"/>
                      <w:szCs w:val="20"/>
                    </w:rPr>
                    <w:t xml:space="preserve"> et industrie dan l’espace marseillais.</w:t>
                  </w:r>
                  <w:r>
                    <w:rPr>
                      <w:rFonts w:ascii="Times New Roman" w:hAnsi="Times New Roman" w:cs="Times New Roman"/>
                      <w:sz w:val="20"/>
                      <w:szCs w:val="20"/>
                    </w:rPr>
                    <w:t xml:space="preserve"> Marseille possède une ZIP, Zone Industrialo-Portuaire qui s’étend à l’ouest de l’agglomération</w:t>
                  </w:r>
                  <w:r w:rsidR="00B736E7">
                    <w:rPr>
                      <w:rFonts w:ascii="Times New Roman" w:hAnsi="Times New Roman" w:cs="Times New Roman"/>
                      <w:sz w:val="20"/>
                      <w:szCs w:val="20"/>
                    </w:rPr>
                    <w:t xml:space="preserve"> (zone en rouge sur la carte). Le N-E de l’étang de Berre et Fos-sur-Mer, concentrent les activités portuaires et industrielle, en particulier le raffinage et la sidérurgie.</w:t>
                  </w:r>
                </w:p>
              </w:txbxContent>
            </v:textbox>
          </v:shape>
        </w:pict>
      </w:r>
      <w:r w:rsidR="00BF2418" w:rsidRPr="00D31BF4">
        <w:rPr>
          <w:b/>
        </w:rPr>
        <w:t>L</w:t>
      </w:r>
      <w:r w:rsidR="00D31BF4">
        <w:rPr>
          <w:b/>
        </w:rPr>
        <w:t>e port de M</w:t>
      </w:r>
      <w:r w:rsidR="00BF2418" w:rsidRPr="00D31BF4">
        <w:rPr>
          <w:b/>
        </w:rPr>
        <w:t>arseill</w:t>
      </w:r>
      <w:r w:rsidR="00D31BF4">
        <w:rPr>
          <w:b/>
        </w:rPr>
        <w:t>e</w:t>
      </w:r>
      <w:r w:rsidR="00BF2418">
        <w:t>.</w:t>
      </w:r>
    </w:p>
    <w:p w:rsidR="00B736E7" w:rsidRDefault="00B736E7" w:rsidP="008932C2">
      <w:pPr>
        <w:jc w:val="center"/>
      </w:pPr>
    </w:p>
    <w:p w:rsidR="00B736E7" w:rsidRDefault="00B736E7" w:rsidP="008932C2">
      <w:pPr>
        <w:jc w:val="center"/>
      </w:pPr>
    </w:p>
    <w:p w:rsidR="00BF2418" w:rsidRDefault="00511DD5" w:rsidP="00BF2418">
      <w:r>
        <w:rPr>
          <w:noProof/>
          <w:lang w:eastAsia="fr-FR"/>
        </w:rPr>
        <w:pict>
          <v:shape id="_x0000_s1030" type="#_x0000_t202" style="position:absolute;margin-left:289.45pt;margin-top:.65pt;width:245.45pt;height:25.05pt;z-index:251662336" filled="f" stroked="f">
            <v:textbox>
              <w:txbxContent>
                <w:p w:rsidR="00511DD5" w:rsidRPr="00511DD5" w:rsidRDefault="00511DD5">
                  <w:pPr>
                    <w:rPr>
                      <w:b/>
                    </w:rPr>
                  </w:pPr>
                  <w:r w:rsidRPr="00511DD5">
                    <w:rPr>
                      <w:b/>
                    </w:rPr>
                    <w:t>Raffinerie de l’Etang de Berre  (La Mède)</w:t>
                  </w:r>
                </w:p>
              </w:txbxContent>
            </v:textbox>
          </v:shape>
        </w:pict>
      </w:r>
      <w:r w:rsidR="008932C2">
        <w:rPr>
          <w:noProof/>
          <w:lang w:eastAsia="fr-FR"/>
        </w:rPr>
        <w:pict>
          <v:shape id="_x0000_s1029" style="position:absolute;margin-left:186.15pt;margin-top:67.2pt;width:43.8pt;height:50.05pt;z-index:251661312" coordsize="876,1001" path="m714,175l426,,,175,63,551,238,538r225,38l351,639r25,362l801,1001,876,764,839,538,826,238,714,175xe" filled="f" strokecolor="red" strokeweight="2.25pt">
            <v:path arrowok="t"/>
          </v:shape>
        </w:pict>
      </w:r>
      <w:r w:rsidR="008932C2">
        <w:rPr>
          <w:noProof/>
          <w:lang w:eastAsia="fr-FR"/>
        </w:rPr>
        <w:pict>
          <v:shape id="_x0000_s1028" style="position:absolute;margin-left:263.15pt;margin-top:162.35pt;width:18.8pt;height:23.8pt;z-index:251660288" coordsize="376,476" path="m,151l188,,376,125r,351l263,326,226,251,,151xe" filled="f" strokecolor="red" strokeweight="2.25pt">
            <v:path arrowok="t"/>
          </v:shape>
        </w:pict>
      </w:r>
      <w:r w:rsidR="008932C2">
        <w:rPr>
          <w:noProof/>
          <w:lang w:eastAsia="fr-FR"/>
        </w:rPr>
        <w:pict>
          <v:shape id="_x0000_s1027" style="position:absolute;margin-left:30.9pt;margin-top:75.95pt;width:85.15pt;height:81.4pt;z-index:251659264" coordsize="1703,1628" path="m864,1628l300,1390,12,1227,,839,125,301,1202,r501,301l1627,864r-626,25l813,1478r51,150xe" filled="f" strokecolor="red" strokeweight="3pt">
            <v:path arrowok="t"/>
          </v:shape>
        </w:pict>
      </w:r>
      <w:r w:rsidR="000C161B">
        <w:rPr>
          <w:noProof/>
          <w:lang w:eastAsia="fr-FR"/>
        </w:rPr>
        <w:drawing>
          <wp:inline distT="0" distB="0" distL="0" distR="0">
            <wp:extent cx="3566988" cy="2386623"/>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366" t="26667" r="23654" b="2043"/>
                    <a:stretch>
                      <a:fillRect/>
                    </a:stretch>
                  </pic:blipFill>
                  <pic:spPr bwMode="auto">
                    <a:xfrm>
                      <a:off x="0" y="0"/>
                      <a:ext cx="3577103" cy="2393391"/>
                    </a:xfrm>
                    <a:prstGeom prst="rect">
                      <a:avLst/>
                    </a:prstGeom>
                    <a:noFill/>
                    <a:ln w="9525">
                      <a:noFill/>
                      <a:miter lim="800000"/>
                      <a:headEnd/>
                      <a:tailEnd/>
                    </a:ln>
                  </pic:spPr>
                </pic:pic>
              </a:graphicData>
            </a:graphic>
          </wp:inline>
        </w:drawing>
      </w:r>
      <w:r w:rsidR="008932C2">
        <w:rPr>
          <w:noProof/>
          <w:lang w:eastAsia="fr-FR"/>
        </w:rPr>
        <w:drawing>
          <wp:inline distT="0" distB="0" distL="0" distR="0">
            <wp:extent cx="3094332" cy="2041391"/>
            <wp:effectExtent l="19050" t="0" r="0" b="0"/>
            <wp:docPr id="1" name="Image 1" descr="http://www.laprovence.com/media/imagecache/article_detail/hermes/2011-09/2011-09-24/201109231925354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provence.com/media/imagecache/article_detail/hermes/2011-09/2011-09-24/2011092319253544_7.jpg"/>
                    <pic:cNvPicPr>
                      <a:picLocks noChangeAspect="1" noChangeArrowheads="1"/>
                    </pic:cNvPicPr>
                  </pic:nvPicPr>
                  <pic:blipFill>
                    <a:blip r:embed="rId6" cstate="print"/>
                    <a:srcRect/>
                    <a:stretch>
                      <a:fillRect/>
                    </a:stretch>
                  </pic:blipFill>
                  <pic:spPr bwMode="auto">
                    <a:xfrm>
                      <a:off x="0" y="0"/>
                      <a:ext cx="3098716" cy="2044283"/>
                    </a:xfrm>
                    <a:prstGeom prst="rect">
                      <a:avLst/>
                    </a:prstGeom>
                    <a:noFill/>
                    <a:ln w="9525">
                      <a:noFill/>
                      <a:miter lim="800000"/>
                      <a:headEnd/>
                      <a:tailEnd/>
                    </a:ln>
                  </pic:spPr>
                </pic:pic>
              </a:graphicData>
            </a:graphic>
          </wp:inline>
        </w:drawing>
      </w:r>
    </w:p>
    <w:tbl>
      <w:tblPr>
        <w:tblW w:w="4986" w:type="pct"/>
        <w:tblInd w:w="582" w:type="dxa"/>
        <w:shd w:val="clear" w:color="auto" w:fill="FFFFFF"/>
        <w:tblCellMar>
          <w:top w:w="15" w:type="dxa"/>
          <w:left w:w="15" w:type="dxa"/>
          <w:bottom w:w="15" w:type="dxa"/>
          <w:right w:w="15" w:type="dxa"/>
        </w:tblCellMar>
        <w:tblLook w:val="04A0"/>
      </w:tblPr>
      <w:tblGrid>
        <w:gridCol w:w="10773"/>
      </w:tblGrid>
      <w:tr w:rsidR="00E67FEC" w:rsidRPr="00E67FEC" w:rsidTr="00E67FEC">
        <w:tc>
          <w:tcPr>
            <w:tcW w:w="5000" w:type="pct"/>
            <w:shd w:val="clear" w:color="auto" w:fill="FFFFFF"/>
            <w:vAlign w:val="center"/>
            <w:hideMark/>
          </w:tcPr>
          <w:p w:rsidR="00E67FEC" w:rsidRPr="00E67FEC" w:rsidRDefault="00E67FEC" w:rsidP="008B176B">
            <w:pPr>
              <w:spacing w:after="0" w:line="240" w:lineRule="auto"/>
              <w:rPr>
                <w:rFonts w:ascii="Times New Roman" w:eastAsia="Times New Roman" w:hAnsi="Times New Roman" w:cs="Times New Roman"/>
                <w:b/>
                <w:color w:val="000000"/>
                <w:sz w:val="20"/>
                <w:szCs w:val="20"/>
                <w:lang w:eastAsia="fr-FR"/>
              </w:rPr>
            </w:pPr>
            <w:r w:rsidRPr="00E67FEC">
              <w:rPr>
                <w:rFonts w:ascii="Times New Roman" w:eastAsia="Times New Roman" w:hAnsi="Times New Roman" w:cs="Times New Roman"/>
                <w:b/>
                <w:color w:val="000000"/>
                <w:sz w:val="20"/>
                <w:szCs w:val="20"/>
                <w:lang w:eastAsia="fr-FR"/>
              </w:rPr>
              <w:t xml:space="preserve">Doc 2. </w:t>
            </w:r>
            <w:hyperlink r:id="rId7" w:history="1">
              <w:r w:rsidRPr="00E67FEC">
                <w:rPr>
                  <w:rFonts w:ascii="Times New Roman" w:eastAsia="Times New Roman" w:hAnsi="Times New Roman" w:cs="Times New Roman"/>
                  <w:b/>
                  <w:color w:val="333333"/>
                  <w:sz w:val="20"/>
                  <w:szCs w:val="20"/>
                  <w:lang w:eastAsia="fr-FR"/>
                </w:rPr>
                <w:t>Le Port de Marseille Fos aujourd'hui</w:t>
              </w:r>
            </w:hyperlink>
            <w:r w:rsidRPr="00E67FEC">
              <w:rPr>
                <w:rFonts w:ascii="Times New Roman" w:eastAsia="Times New Roman" w:hAnsi="Times New Roman" w:cs="Times New Roman"/>
                <w:b/>
                <w:color w:val="000000"/>
                <w:sz w:val="20"/>
                <w:szCs w:val="20"/>
                <w:lang w:eastAsia="fr-FR"/>
              </w:rPr>
              <w:t> :</w:t>
            </w:r>
            <w:r w:rsidRPr="00E67FEC">
              <w:rPr>
                <w:rFonts w:ascii="Times New Roman" w:hAnsi="Times New Roman" w:cs="Times New Roman"/>
                <w:sz w:val="20"/>
                <w:szCs w:val="20"/>
              </w:rPr>
              <w:t xml:space="preserve"> (Sour</w:t>
            </w:r>
            <w:r w:rsidRPr="00E67FEC">
              <w:rPr>
                <w:rFonts w:ascii="Times New Roman" w:eastAsia="Times New Roman" w:hAnsi="Times New Roman" w:cs="Times New Roman"/>
                <w:b/>
                <w:color w:val="000000"/>
                <w:sz w:val="20"/>
                <w:szCs w:val="20"/>
                <w:lang w:eastAsia="fr-FR"/>
              </w:rPr>
              <w:t>ce : http://www.marseille-port.fr)</w:t>
            </w:r>
          </w:p>
        </w:tc>
      </w:tr>
      <w:tr w:rsidR="00E67FEC" w:rsidRPr="00E67FEC" w:rsidTr="00E67FEC">
        <w:tc>
          <w:tcPr>
            <w:tcW w:w="5000" w:type="pct"/>
            <w:shd w:val="clear" w:color="auto" w:fill="FFFFFF"/>
            <w:vAlign w:val="center"/>
            <w:hideMark/>
          </w:tcPr>
          <w:p w:rsidR="00E67FEC" w:rsidRPr="00E67FEC" w:rsidRDefault="00E67FEC" w:rsidP="008B176B">
            <w:pPr>
              <w:spacing w:after="0" w:line="240" w:lineRule="auto"/>
              <w:textAlignment w:val="baseline"/>
              <w:rPr>
                <w:rFonts w:ascii="Times New Roman" w:eastAsia="Times New Roman" w:hAnsi="Times New Roman" w:cs="Times New Roman"/>
                <w:color w:val="000000"/>
                <w:sz w:val="20"/>
                <w:szCs w:val="20"/>
                <w:lang w:eastAsia="fr-FR"/>
              </w:rPr>
            </w:pPr>
            <w:r w:rsidRPr="00E67FEC">
              <w:rPr>
                <w:rFonts w:ascii="Times New Roman" w:eastAsia="Times New Roman" w:hAnsi="Times New Roman" w:cs="Times New Roman"/>
                <w:b/>
                <w:bCs/>
                <w:color w:val="000000"/>
                <w:sz w:val="20"/>
                <w:szCs w:val="20"/>
                <w:lang w:eastAsia="fr-FR"/>
              </w:rPr>
              <w:t>Le Port de Marseille Fos est le premier port français, 3ème port pétrolier mondial.</w:t>
            </w:r>
            <w:r>
              <w:rPr>
                <w:rFonts w:ascii="Times New Roman" w:eastAsia="Times New Roman" w:hAnsi="Times New Roman" w:cs="Times New Roman"/>
                <w:color w:val="000000"/>
                <w:sz w:val="20"/>
                <w:szCs w:val="20"/>
                <w:lang w:eastAsia="fr-FR"/>
              </w:rPr>
              <w:t xml:space="preserve"> </w:t>
            </w:r>
            <w:r w:rsidRPr="00E67FEC">
              <w:rPr>
                <w:rFonts w:ascii="Times New Roman" w:eastAsia="Times New Roman" w:hAnsi="Times New Roman" w:cs="Times New Roman"/>
                <w:color w:val="000000"/>
                <w:sz w:val="20"/>
                <w:szCs w:val="20"/>
                <w:lang w:eastAsia="fr-FR"/>
              </w:rPr>
              <w:t>Sa position géographique en Méditerranée et l’intermodalité dont il bénéficie (fleuve, fer, route, pipeline) le place comme la porte d'accès naturelle aux marchés européens. </w:t>
            </w:r>
            <w:r w:rsidRPr="00E67FEC">
              <w:rPr>
                <w:rFonts w:ascii="Times New Roman" w:eastAsia="Times New Roman" w:hAnsi="Times New Roman" w:cs="Times New Roman"/>
                <w:color w:val="000000"/>
                <w:sz w:val="20"/>
                <w:szCs w:val="20"/>
                <w:lang w:eastAsia="fr-FR"/>
              </w:rPr>
              <w:br/>
              <w:t>Soixante lignes régulières relient Marseille Fos aux cinq continents, son trafic global en 2012 s'élève à près de 86 MT, dont 52,74 MT d'hydrocarbures.</w:t>
            </w:r>
            <w:r w:rsidRPr="00E67FEC">
              <w:rPr>
                <w:rFonts w:ascii="Times New Roman" w:eastAsia="Times New Roman" w:hAnsi="Times New Roman" w:cs="Times New Roman"/>
                <w:color w:val="000000"/>
                <w:sz w:val="20"/>
                <w:szCs w:val="20"/>
                <w:lang w:eastAsia="fr-FR"/>
              </w:rPr>
              <w:br/>
            </w:r>
            <w:r w:rsidRPr="00E67FEC">
              <w:rPr>
                <w:rFonts w:ascii="Times New Roman" w:eastAsia="Times New Roman" w:hAnsi="Times New Roman" w:cs="Times New Roman"/>
                <w:b/>
                <w:color w:val="000000"/>
                <w:sz w:val="20"/>
                <w:szCs w:val="20"/>
                <w:lang w:eastAsia="fr-FR"/>
              </w:rPr>
              <w:t>Le Port est constitué de deux bassins</w:t>
            </w:r>
            <w:r w:rsidRPr="00E67FEC">
              <w:rPr>
                <w:rFonts w:ascii="Times New Roman" w:eastAsia="Times New Roman" w:hAnsi="Times New Roman" w:cs="Times New Roman"/>
                <w:color w:val="000000"/>
                <w:sz w:val="20"/>
                <w:szCs w:val="20"/>
                <w:lang w:eastAsia="fr-FR"/>
              </w:rPr>
              <w:t>, les « Bassins Est » localisés dans la ville de Marseille sur 400 hectares et les « Bassins Ouest » situés à Fos (70 km de Marseille) sur un domaine de 10000 hectares.</w:t>
            </w:r>
            <w:r w:rsidRPr="00E67FEC">
              <w:rPr>
                <w:rFonts w:ascii="Times New Roman" w:eastAsia="Times New Roman" w:hAnsi="Times New Roman" w:cs="Times New Roman"/>
                <w:color w:val="000000"/>
                <w:sz w:val="20"/>
                <w:szCs w:val="20"/>
                <w:lang w:eastAsia="fr-FR"/>
              </w:rPr>
              <w:br/>
              <w:t>Port généraliste, il traite tous types de marchandises : hydrocarbures et vracs liquides (pétrole, gaz et produits chimiques), marchandises diverses (conteneurs et autres conditionnements), vracs solides (minerais et céréales).</w:t>
            </w:r>
            <w:r w:rsidRPr="00E67FEC">
              <w:rPr>
                <w:rFonts w:ascii="Times New Roman" w:eastAsia="Times New Roman" w:hAnsi="Times New Roman" w:cs="Times New Roman"/>
                <w:color w:val="000000"/>
                <w:sz w:val="20"/>
                <w:szCs w:val="20"/>
                <w:lang w:eastAsia="fr-FR"/>
              </w:rPr>
              <w:br/>
              <w:t xml:space="preserve">La mise en service à Fos des deux terminaux Fos 2XL en 2012, le port de Marseille Fos se met au niveau des ports européens en doublant sa capacité de traitement des conteneurs (2 millions de conteneurs contre 1 million en 2010). Ces terminaux à conteneurs sont associés à deux zones logistiques totalisant près de 400 hectares, Fos </w:t>
            </w:r>
            <w:proofErr w:type="spellStart"/>
            <w:r w:rsidRPr="00E67FEC">
              <w:rPr>
                <w:rFonts w:ascii="Times New Roman" w:eastAsia="Times New Roman" w:hAnsi="Times New Roman" w:cs="Times New Roman"/>
                <w:color w:val="000000"/>
                <w:sz w:val="20"/>
                <w:szCs w:val="20"/>
                <w:lang w:eastAsia="fr-FR"/>
              </w:rPr>
              <w:t>Distriport</w:t>
            </w:r>
            <w:proofErr w:type="spellEnd"/>
            <w:r w:rsidRPr="00E67FEC">
              <w:rPr>
                <w:rFonts w:ascii="Times New Roman" w:eastAsia="Times New Roman" w:hAnsi="Times New Roman" w:cs="Times New Roman"/>
                <w:color w:val="000000"/>
                <w:sz w:val="20"/>
                <w:szCs w:val="20"/>
                <w:lang w:eastAsia="fr-FR"/>
              </w:rPr>
              <w:t xml:space="preserve"> et la </w:t>
            </w:r>
            <w:proofErr w:type="spellStart"/>
            <w:r w:rsidRPr="00E67FEC">
              <w:rPr>
                <w:rFonts w:ascii="Times New Roman" w:eastAsia="Times New Roman" w:hAnsi="Times New Roman" w:cs="Times New Roman"/>
                <w:color w:val="000000"/>
                <w:sz w:val="20"/>
                <w:szCs w:val="20"/>
                <w:lang w:eastAsia="fr-FR"/>
              </w:rPr>
              <w:t>Feuillane</w:t>
            </w:r>
            <w:proofErr w:type="spellEnd"/>
            <w:r w:rsidRPr="00E67FEC">
              <w:rPr>
                <w:rFonts w:ascii="Times New Roman" w:eastAsia="Times New Roman" w:hAnsi="Times New Roman" w:cs="Times New Roman"/>
                <w:color w:val="000000"/>
                <w:sz w:val="20"/>
                <w:szCs w:val="20"/>
                <w:lang w:eastAsia="fr-FR"/>
              </w:rPr>
              <w:t>.</w:t>
            </w:r>
            <w:r w:rsidRPr="00E67FEC">
              <w:rPr>
                <w:rFonts w:ascii="Times New Roman" w:eastAsia="Times New Roman" w:hAnsi="Times New Roman" w:cs="Times New Roman"/>
                <w:color w:val="000000"/>
                <w:sz w:val="20"/>
                <w:szCs w:val="20"/>
                <w:lang w:eastAsia="fr-FR"/>
              </w:rPr>
              <w:br/>
              <w:t>Le port de Marseille Fos, au cœur d’un patrimoine touristique prisé, dispose également d'infrastructures d'accueil des passagers. Les croisiéristes sont accueillis au MPCC (Marseille Provence Cruise Center), et les passagers des lignes régulières vers la Corse et le Maghreb, sont reçus depuis la Gare de la Major et ses satellites jusqu’au Cap Janet.</w:t>
            </w:r>
            <w:r w:rsidRPr="00E67FEC">
              <w:rPr>
                <w:rFonts w:ascii="Times New Roman" w:eastAsia="Times New Roman" w:hAnsi="Times New Roman" w:cs="Times New Roman"/>
                <w:color w:val="000000"/>
                <w:sz w:val="20"/>
                <w:szCs w:val="20"/>
                <w:lang w:eastAsia="fr-FR"/>
              </w:rPr>
              <w:br/>
              <w:t>Le port de Marseille Fos  est également doté d’infrastructures pour développer les activités de réparation navale industrielle ou de plaisance.</w:t>
            </w:r>
          </w:p>
          <w:p w:rsidR="00E67FEC" w:rsidRDefault="00E67FEC" w:rsidP="008B176B">
            <w:pPr>
              <w:spacing w:after="0" w:line="240" w:lineRule="auto"/>
              <w:textAlignment w:val="baseline"/>
              <w:rPr>
                <w:rFonts w:ascii="Times New Roman" w:eastAsia="Times New Roman" w:hAnsi="Times New Roman" w:cs="Times New Roman"/>
                <w:color w:val="000000"/>
                <w:sz w:val="20"/>
                <w:szCs w:val="20"/>
                <w:lang w:eastAsia="fr-FR"/>
              </w:rPr>
            </w:pPr>
            <w:r w:rsidRPr="00E67FEC">
              <w:rPr>
                <w:rFonts w:ascii="Times New Roman" w:eastAsia="Times New Roman" w:hAnsi="Times New Roman" w:cs="Times New Roman"/>
                <w:color w:val="000000"/>
                <w:sz w:val="20"/>
                <w:szCs w:val="20"/>
                <w:lang w:eastAsia="fr-FR"/>
              </w:rPr>
              <w:t>Depuis les années 2000, le port mène une politique d’aménagement équilibrée entre développement économique et protection de l’environnement, tout en répondant aux attentes de l’économie nationale et internationale.</w:t>
            </w:r>
            <w:r w:rsidRPr="00E67FEC">
              <w:rPr>
                <w:rFonts w:ascii="Times New Roman" w:eastAsia="Times New Roman" w:hAnsi="Times New Roman" w:cs="Times New Roman"/>
                <w:color w:val="000000"/>
                <w:sz w:val="20"/>
                <w:szCs w:val="20"/>
                <w:lang w:eastAsia="fr-FR"/>
              </w:rPr>
              <w:br/>
              <w:t>L'activité portuaire génère près de 43.000 emplois dans la région dont 1000 agents port de Marseille Fos.</w:t>
            </w:r>
          </w:p>
          <w:p w:rsidR="00B736E7" w:rsidRDefault="00B736E7" w:rsidP="008B176B">
            <w:pPr>
              <w:spacing w:after="0" w:line="240" w:lineRule="auto"/>
              <w:textAlignment w:val="baseline"/>
              <w:rPr>
                <w:rFonts w:ascii="Times New Roman" w:eastAsia="Times New Roman" w:hAnsi="Times New Roman" w:cs="Times New Roman"/>
                <w:color w:val="000000"/>
                <w:sz w:val="20"/>
                <w:szCs w:val="20"/>
                <w:lang w:eastAsia="fr-FR"/>
              </w:rPr>
            </w:pPr>
          </w:p>
          <w:p w:rsidR="00B736E7" w:rsidRPr="00B736E7" w:rsidRDefault="00B736E7" w:rsidP="00B736E7">
            <w:pPr>
              <w:spacing w:after="0" w:line="240" w:lineRule="auto"/>
              <w:textAlignment w:val="baseline"/>
              <w:rPr>
                <w:rFonts w:ascii="Times New Roman" w:eastAsia="Times New Roman" w:hAnsi="Times New Roman" w:cs="Times New Roman"/>
                <w:b/>
                <w:color w:val="000000"/>
                <w:sz w:val="20"/>
                <w:szCs w:val="20"/>
                <w:lang w:eastAsia="fr-FR"/>
              </w:rPr>
            </w:pPr>
            <w:r w:rsidRPr="00B736E7">
              <w:rPr>
                <w:rFonts w:ascii="Times New Roman" w:eastAsia="Times New Roman" w:hAnsi="Times New Roman" w:cs="Times New Roman"/>
                <w:b/>
                <w:color w:val="000000"/>
                <w:sz w:val="20"/>
                <w:szCs w:val="20"/>
                <w:lang w:eastAsia="fr-FR"/>
              </w:rPr>
              <w:t>Doc. 3 : Marseille, 1</w:t>
            </w:r>
            <w:r w:rsidRPr="00B736E7">
              <w:rPr>
                <w:rFonts w:ascii="Times New Roman" w:eastAsia="Times New Roman" w:hAnsi="Times New Roman" w:cs="Times New Roman"/>
                <w:b/>
                <w:color w:val="000000"/>
                <w:sz w:val="20"/>
                <w:szCs w:val="20"/>
                <w:vertAlign w:val="superscript"/>
                <w:lang w:eastAsia="fr-FR"/>
              </w:rPr>
              <w:t>er</w:t>
            </w:r>
            <w:r w:rsidRPr="00B736E7">
              <w:rPr>
                <w:rFonts w:ascii="Times New Roman" w:eastAsia="Times New Roman" w:hAnsi="Times New Roman" w:cs="Times New Roman"/>
                <w:b/>
                <w:color w:val="000000"/>
                <w:sz w:val="20"/>
                <w:szCs w:val="20"/>
                <w:lang w:eastAsia="fr-FR"/>
              </w:rPr>
              <w:t xml:space="preserve"> Port Français, une porte de l’Europe.</w:t>
            </w:r>
          </w:p>
        </w:tc>
      </w:tr>
    </w:tbl>
    <w:tbl>
      <w:tblPr>
        <w:tblStyle w:val="Grilledutableau"/>
        <w:tblpPr w:leftFromText="141" w:rightFromText="141" w:vertAnchor="text" w:horzAnchor="margin" w:tblpXSpec="center" w:tblpY="102"/>
        <w:tblW w:w="9781" w:type="dxa"/>
        <w:tblLook w:val="04A0"/>
      </w:tblPr>
      <w:tblGrid>
        <w:gridCol w:w="3740"/>
        <w:gridCol w:w="1161"/>
        <w:gridCol w:w="1412"/>
        <w:gridCol w:w="1592"/>
        <w:gridCol w:w="1876"/>
      </w:tblGrid>
      <w:tr w:rsidR="00E67FEC" w:rsidRPr="00E67FEC" w:rsidTr="00E67FEC">
        <w:trPr>
          <w:trHeight w:val="113"/>
        </w:trPr>
        <w:tc>
          <w:tcPr>
            <w:tcW w:w="3740" w:type="dxa"/>
            <w:vMerge w:val="restart"/>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produits traités</w:t>
            </w:r>
          </w:p>
        </w:tc>
        <w:tc>
          <w:tcPr>
            <w:tcW w:w="2573" w:type="dxa"/>
            <w:gridSpan w:val="2"/>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Tonnage en 2012 (Mt)</w:t>
            </w:r>
          </w:p>
        </w:tc>
        <w:tc>
          <w:tcPr>
            <w:tcW w:w="1592" w:type="dxa"/>
            <w:vMerge w:val="restart"/>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total (I+X)</w:t>
            </w:r>
          </w:p>
        </w:tc>
        <w:tc>
          <w:tcPr>
            <w:tcW w:w="1876" w:type="dxa"/>
            <w:vMerge w:val="restart"/>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évolution par rapport à 2011</w:t>
            </w:r>
          </w:p>
          <w:p w:rsidR="00E67FEC" w:rsidRPr="00E67FEC" w:rsidRDefault="00E67FEC" w:rsidP="00E67FEC">
            <w:pPr>
              <w:rPr>
                <w:rFonts w:ascii="Times New Roman" w:hAnsi="Times New Roman" w:cs="Times New Roman"/>
                <w:sz w:val="20"/>
                <w:szCs w:val="20"/>
              </w:rPr>
            </w:pPr>
          </w:p>
        </w:tc>
      </w:tr>
      <w:tr w:rsidR="00E67FEC" w:rsidRPr="00E67FEC" w:rsidTr="00E67FEC">
        <w:trPr>
          <w:trHeight w:val="280"/>
        </w:trPr>
        <w:tc>
          <w:tcPr>
            <w:tcW w:w="3740" w:type="dxa"/>
            <w:vMerge/>
          </w:tcPr>
          <w:p w:rsidR="00E67FEC" w:rsidRPr="00E67FEC" w:rsidRDefault="00E67FEC" w:rsidP="00E67FEC">
            <w:pPr>
              <w:rPr>
                <w:rFonts w:ascii="Times New Roman" w:hAnsi="Times New Roman" w:cs="Times New Roman"/>
                <w:sz w:val="20"/>
                <w:szCs w:val="20"/>
              </w:rPr>
            </w:pPr>
          </w:p>
        </w:tc>
        <w:tc>
          <w:tcPr>
            <w:tcW w:w="1161"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Importation</w:t>
            </w:r>
          </w:p>
        </w:tc>
        <w:tc>
          <w:tcPr>
            <w:tcW w:w="1412"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exportation</w:t>
            </w:r>
          </w:p>
        </w:tc>
        <w:tc>
          <w:tcPr>
            <w:tcW w:w="1592" w:type="dxa"/>
            <w:vMerge/>
          </w:tcPr>
          <w:p w:rsidR="00E67FEC" w:rsidRPr="00E67FEC" w:rsidRDefault="00E67FEC" w:rsidP="00E67FEC">
            <w:pPr>
              <w:rPr>
                <w:rFonts w:ascii="Times New Roman" w:hAnsi="Times New Roman" w:cs="Times New Roman"/>
                <w:sz w:val="20"/>
                <w:szCs w:val="20"/>
              </w:rPr>
            </w:pPr>
          </w:p>
        </w:tc>
        <w:tc>
          <w:tcPr>
            <w:tcW w:w="1876" w:type="dxa"/>
            <w:vMerge/>
          </w:tcPr>
          <w:p w:rsidR="00E67FEC" w:rsidRPr="00E67FEC" w:rsidRDefault="00E67FEC" w:rsidP="00E67FEC">
            <w:pPr>
              <w:rPr>
                <w:rFonts w:ascii="Times New Roman" w:hAnsi="Times New Roman" w:cs="Times New Roman"/>
                <w:sz w:val="20"/>
                <w:szCs w:val="20"/>
              </w:rPr>
            </w:pPr>
          </w:p>
        </w:tc>
      </w:tr>
      <w:tr w:rsidR="00E67FEC" w:rsidRPr="00E67FEC" w:rsidTr="00E67FEC">
        <w:tc>
          <w:tcPr>
            <w:tcW w:w="3740"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 xml:space="preserve">vrac liquide dont </w:t>
            </w:r>
          </w:p>
          <w:p w:rsidR="00E67FEC" w:rsidRPr="00E67FEC" w:rsidRDefault="00E67FEC" w:rsidP="00E67FEC">
            <w:pPr>
              <w:pStyle w:val="Paragraphedeliste"/>
              <w:numPr>
                <w:ilvl w:val="0"/>
                <w:numId w:val="2"/>
              </w:numPr>
              <w:rPr>
                <w:rFonts w:ascii="Times New Roman" w:hAnsi="Times New Roman" w:cs="Times New Roman"/>
                <w:sz w:val="20"/>
                <w:szCs w:val="20"/>
              </w:rPr>
            </w:pPr>
            <w:r w:rsidRPr="00E67FEC">
              <w:rPr>
                <w:rFonts w:ascii="Times New Roman" w:hAnsi="Times New Roman" w:cs="Times New Roman"/>
                <w:sz w:val="20"/>
                <w:szCs w:val="20"/>
              </w:rPr>
              <w:t xml:space="preserve">pétrole brut </w:t>
            </w:r>
          </w:p>
          <w:p w:rsidR="00E67FEC" w:rsidRPr="00E67FEC" w:rsidRDefault="00E67FEC" w:rsidP="00E67FEC">
            <w:pPr>
              <w:pStyle w:val="Paragraphedeliste"/>
              <w:numPr>
                <w:ilvl w:val="0"/>
                <w:numId w:val="2"/>
              </w:numPr>
              <w:rPr>
                <w:rFonts w:ascii="Times New Roman" w:hAnsi="Times New Roman" w:cs="Times New Roman"/>
                <w:sz w:val="20"/>
                <w:szCs w:val="20"/>
              </w:rPr>
            </w:pPr>
            <w:r w:rsidRPr="00E67FEC">
              <w:rPr>
                <w:rFonts w:ascii="Times New Roman" w:hAnsi="Times New Roman" w:cs="Times New Roman"/>
                <w:sz w:val="20"/>
                <w:szCs w:val="20"/>
              </w:rPr>
              <w:t>pétrole raffiné</w:t>
            </w:r>
          </w:p>
          <w:p w:rsidR="00E67FEC" w:rsidRPr="00E67FEC" w:rsidRDefault="00E67FEC" w:rsidP="00E67FEC">
            <w:pPr>
              <w:pStyle w:val="Paragraphedeliste"/>
              <w:numPr>
                <w:ilvl w:val="0"/>
                <w:numId w:val="2"/>
              </w:numPr>
              <w:rPr>
                <w:rFonts w:ascii="Times New Roman" w:hAnsi="Times New Roman" w:cs="Times New Roman"/>
                <w:sz w:val="20"/>
                <w:szCs w:val="20"/>
              </w:rPr>
            </w:pPr>
            <w:r w:rsidRPr="00E67FEC">
              <w:rPr>
                <w:rFonts w:ascii="Times New Roman" w:hAnsi="Times New Roman" w:cs="Times New Roman"/>
                <w:sz w:val="20"/>
                <w:szCs w:val="20"/>
              </w:rPr>
              <w:t>gaz naturel</w:t>
            </w:r>
          </w:p>
        </w:tc>
        <w:tc>
          <w:tcPr>
            <w:tcW w:w="1161"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46,7</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32</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6</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7,1</w:t>
            </w:r>
          </w:p>
        </w:tc>
        <w:tc>
          <w:tcPr>
            <w:tcW w:w="1412"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9,4</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0,04</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7</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0,5</w:t>
            </w:r>
          </w:p>
        </w:tc>
        <w:tc>
          <w:tcPr>
            <w:tcW w:w="1592"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56,1</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32</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13</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7.6</w:t>
            </w:r>
          </w:p>
        </w:tc>
        <w:tc>
          <w:tcPr>
            <w:tcW w:w="1876"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-10%</w:t>
            </w:r>
          </w:p>
        </w:tc>
      </w:tr>
      <w:tr w:rsidR="00E67FEC" w:rsidRPr="00E67FEC" w:rsidTr="00E67FEC">
        <w:tc>
          <w:tcPr>
            <w:tcW w:w="3740"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Vrac solide :</w:t>
            </w:r>
          </w:p>
          <w:p w:rsidR="00E67FEC" w:rsidRPr="00E67FEC" w:rsidRDefault="00E67FEC" w:rsidP="00E67FEC">
            <w:pPr>
              <w:pStyle w:val="Paragraphedeliste"/>
              <w:numPr>
                <w:ilvl w:val="0"/>
                <w:numId w:val="3"/>
              </w:numPr>
              <w:rPr>
                <w:rFonts w:ascii="Times New Roman" w:hAnsi="Times New Roman" w:cs="Times New Roman"/>
                <w:sz w:val="20"/>
                <w:szCs w:val="20"/>
              </w:rPr>
            </w:pPr>
            <w:r w:rsidRPr="00E67FEC">
              <w:rPr>
                <w:rFonts w:ascii="Times New Roman" w:hAnsi="Times New Roman" w:cs="Times New Roman"/>
                <w:sz w:val="20"/>
                <w:szCs w:val="20"/>
              </w:rPr>
              <w:t>céréales</w:t>
            </w:r>
          </w:p>
          <w:p w:rsidR="00E67FEC" w:rsidRPr="00E67FEC" w:rsidRDefault="00E67FEC" w:rsidP="00E67FEC">
            <w:pPr>
              <w:pStyle w:val="Paragraphedeliste"/>
              <w:numPr>
                <w:ilvl w:val="0"/>
                <w:numId w:val="3"/>
              </w:numPr>
              <w:rPr>
                <w:rFonts w:ascii="Times New Roman" w:hAnsi="Times New Roman" w:cs="Times New Roman"/>
                <w:sz w:val="20"/>
                <w:szCs w:val="20"/>
              </w:rPr>
            </w:pPr>
            <w:r w:rsidRPr="00E67FEC">
              <w:rPr>
                <w:rFonts w:ascii="Times New Roman" w:hAnsi="Times New Roman" w:cs="Times New Roman"/>
                <w:sz w:val="20"/>
                <w:szCs w:val="20"/>
              </w:rPr>
              <w:t>charbon</w:t>
            </w:r>
          </w:p>
          <w:p w:rsidR="00E67FEC" w:rsidRPr="00E67FEC" w:rsidRDefault="00E67FEC" w:rsidP="00E67FEC">
            <w:pPr>
              <w:pStyle w:val="Paragraphedeliste"/>
              <w:numPr>
                <w:ilvl w:val="0"/>
                <w:numId w:val="3"/>
              </w:numPr>
              <w:rPr>
                <w:rFonts w:ascii="Times New Roman" w:hAnsi="Times New Roman" w:cs="Times New Roman"/>
                <w:sz w:val="20"/>
                <w:szCs w:val="20"/>
              </w:rPr>
            </w:pPr>
            <w:r w:rsidRPr="00E67FEC">
              <w:rPr>
                <w:rFonts w:ascii="Times New Roman" w:hAnsi="Times New Roman" w:cs="Times New Roman"/>
                <w:sz w:val="20"/>
                <w:szCs w:val="20"/>
              </w:rPr>
              <w:t>minerais</w:t>
            </w:r>
          </w:p>
        </w:tc>
        <w:tc>
          <w:tcPr>
            <w:tcW w:w="1161"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10,9</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0.01</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3.9</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6.3</w:t>
            </w:r>
          </w:p>
        </w:tc>
        <w:tc>
          <w:tcPr>
            <w:tcW w:w="1412"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1.4</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0.9</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0</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02</w:t>
            </w:r>
          </w:p>
        </w:tc>
        <w:tc>
          <w:tcPr>
            <w:tcW w:w="1592"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12,3</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0.91</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3.9</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6.5</w:t>
            </w:r>
          </w:p>
        </w:tc>
        <w:tc>
          <w:tcPr>
            <w:tcW w:w="1876"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-6%</w:t>
            </w:r>
          </w:p>
        </w:tc>
      </w:tr>
      <w:tr w:rsidR="00E67FEC" w:rsidRPr="00E67FEC" w:rsidTr="00E67FEC">
        <w:tc>
          <w:tcPr>
            <w:tcW w:w="3740"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Marchandises</w:t>
            </w:r>
          </w:p>
          <w:p w:rsidR="00E67FEC" w:rsidRDefault="00E67FEC" w:rsidP="00E67FEC">
            <w:pPr>
              <w:pStyle w:val="Paragraphedeliste"/>
              <w:numPr>
                <w:ilvl w:val="0"/>
                <w:numId w:val="4"/>
              </w:numPr>
              <w:ind w:left="0" w:firstLine="284"/>
              <w:rPr>
                <w:rFonts w:ascii="Times New Roman" w:hAnsi="Times New Roman" w:cs="Times New Roman"/>
                <w:sz w:val="20"/>
                <w:szCs w:val="20"/>
              </w:rPr>
            </w:pPr>
            <w:r w:rsidRPr="00E67FEC">
              <w:rPr>
                <w:rFonts w:ascii="Times New Roman" w:hAnsi="Times New Roman" w:cs="Times New Roman"/>
                <w:sz w:val="20"/>
                <w:szCs w:val="20"/>
              </w:rPr>
              <w:t xml:space="preserve">conteneurs </w:t>
            </w:r>
            <w:r>
              <w:rPr>
                <w:rFonts w:ascii="Times New Roman" w:hAnsi="Times New Roman" w:cs="Times New Roman"/>
                <w:sz w:val="20"/>
                <w:szCs w:val="20"/>
              </w:rPr>
              <w:t xml:space="preserve"> (</w:t>
            </w:r>
            <w:r w:rsidRPr="00E67FEC">
              <w:rPr>
                <w:rFonts w:ascii="Times New Roman" w:hAnsi="Times New Roman" w:cs="Times New Roman"/>
                <w:sz w:val="20"/>
                <w:szCs w:val="20"/>
              </w:rPr>
              <w:t xml:space="preserve">Mt) </w:t>
            </w:r>
          </w:p>
          <w:p w:rsidR="00E67FEC" w:rsidRPr="00E67FEC" w:rsidRDefault="00E67FEC" w:rsidP="00E67FEC">
            <w:pPr>
              <w:pStyle w:val="Paragraphedeliste"/>
              <w:numPr>
                <w:ilvl w:val="0"/>
                <w:numId w:val="4"/>
              </w:numPr>
              <w:ind w:left="0" w:firstLine="284"/>
              <w:rPr>
                <w:rFonts w:ascii="Times New Roman" w:hAnsi="Times New Roman" w:cs="Times New Roman"/>
                <w:sz w:val="20"/>
                <w:szCs w:val="20"/>
              </w:rPr>
            </w:pPr>
            <w:r w:rsidRPr="00E67FEC">
              <w:rPr>
                <w:rFonts w:ascii="Times New Roman" w:hAnsi="Times New Roman" w:cs="Times New Roman"/>
                <w:sz w:val="20"/>
                <w:szCs w:val="20"/>
              </w:rPr>
              <w:t>nb de conteneur</w:t>
            </w:r>
            <w:r>
              <w:rPr>
                <w:rFonts w:ascii="Times New Roman" w:hAnsi="Times New Roman" w:cs="Times New Roman"/>
                <w:sz w:val="20"/>
                <w:szCs w:val="20"/>
              </w:rPr>
              <w:t>s</w:t>
            </w:r>
          </w:p>
        </w:tc>
        <w:tc>
          <w:tcPr>
            <w:tcW w:w="1161"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6</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4.1soit</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326 000</w:t>
            </w:r>
          </w:p>
        </w:tc>
        <w:tc>
          <w:tcPr>
            <w:tcW w:w="1412"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11.2</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 xml:space="preserve">5.4 soit </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336 000</w:t>
            </w:r>
          </w:p>
          <w:p w:rsidR="00E67FEC" w:rsidRPr="00E67FEC" w:rsidRDefault="00E67FEC" w:rsidP="00E67FEC">
            <w:pPr>
              <w:rPr>
                <w:rFonts w:ascii="Times New Roman" w:hAnsi="Times New Roman" w:cs="Times New Roman"/>
                <w:sz w:val="20"/>
                <w:szCs w:val="20"/>
              </w:rPr>
            </w:pPr>
          </w:p>
        </w:tc>
        <w:tc>
          <w:tcPr>
            <w:tcW w:w="1592"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17.2</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10.5</w:t>
            </w:r>
          </w:p>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661000</w:t>
            </w:r>
          </w:p>
        </w:tc>
        <w:tc>
          <w:tcPr>
            <w:tcW w:w="1876" w:type="dxa"/>
          </w:tcPr>
          <w:p w:rsidR="00E67FEC" w:rsidRPr="00E67FEC" w:rsidRDefault="00E67FEC" w:rsidP="00E67FEC">
            <w:pPr>
              <w:rPr>
                <w:rFonts w:ascii="Times New Roman" w:hAnsi="Times New Roman" w:cs="Times New Roman"/>
                <w:sz w:val="20"/>
                <w:szCs w:val="20"/>
              </w:rPr>
            </w:pPr>
            <w:r w:rsidRPr="00E67FEC">
              <w:rPr>
                <w:rFonts w:ascii="Times New Roman" w:hAnsi="Times New Roman" w:cs="Times New Roman"/>
                <w:sz w:val="20"/>
                <w:szCs w:val="20"/>
              </w:rPr>
              <w:t>+11%</w:t>
            </w:r>
          </w:p>
        </w:tc>
      </w:tr>
      <w:tr w:rsidR="00E67FEC" w:rsidTr="00E67FEC">
        <w:tc>
          <w:tcPr>
            <w:tcW w:w="3740" w:type="dxa"/>
          </w:tcPr>
          <w:p w:rsidR="00E67FEC" w:rsidRPr="000C161B" w:rsidRDefault="00E67FEC" w:rsidP="00E67FEC">
            <w:pPr>
              <w:rPr>
                <w:rFonts w:ascii="Times New Roman" w:hAnsi="Times New Roman" w:cs="Times New Roman"/>
                <w:b/>
                <w:sz w:val="20"/>
                <w:szCs w:val="20"/>
              </w:rPr>
            </w:pPr>
            <w:r w:rsidRPr="000C161B">
              <w:rPr>
                <w:rFonts w:ascii="Times New Roman" w:hAnsi="Times New Roman" w:cs="Times New Roman"/>
                <w:b/>
                <w:sz w:val="20"/>
                <w:szCs w:val="20"/>
              </w:rPr>
              <w:t>Total marchandise (Mt)</w:t>
            </w:r>
          </w:p>
        </w:tc>
        <w:tc>
          <w:tcPr>
            <w:tcW w:w="1161" w:type="dxa"/>
          </w:tcPr>
          <w:p w:rsidR="00E67FEC" w:rsidRPr="000C161B" w:rsidRDefault="00E67FEC" w:rsidP="00E67FEC">
            <w:pPr>
              <w:rPr>
                <w:rFonts w:ascii="Times New Roman" w:hAnsi="Times New Roman" w:cs="Times New Roman"/>
                <w:b/>
                <w:sz w:val="20"/>
                <w:szCs w:val="20"/>
              </w:rPr>
            </w:pPr>
            <w:r w:rsidRPr="000C161B">
              <w:rPr>
                <w:rFonts w:ascii="Times New Roman" w:hAnsi="Times New Roman" w:cs="Times New Roman"/>
                <w:b/>
                <w:sz w:val="20"/>
                <w:szCs w:val="20"/>
              </w:rPr>
              <w:t>63,6</w:t>
            </w:r>
          </w:p>
        </w:tc>
        <w:tc>
          <w:tcPr>
            <w:tcW w:w="1412" w:type="dxa"/>
          </w:tcPr>
          <w:p w:rsidR="00E67FEC" w:rsidRPr="000C161B" w:rsidRDefault="00E67FEC" w:rsidP="00E67FEC">
            <w:pPr>
              <w:rPr>
                <w:rFonts w:ascii="Times New Roman" w:hAnsi="Times New Roman" w:cs="Times New Roman"/>
                <w:b/>
                <w:sz w:val="20"/>
                <w:szCs w:val="20"/>
              </w:rPr>
            </w:pPr>
            <w:r w:rsidRPr="000C161B">
              <w:rPr>
                <w:rFonts w:ascii="Times New Roman" w:hAnsi="Times New Roman" w:cs="Times New Roman"/>
                <w:b/>
                <w:sz w:val="20"/>
                <w:szCs w:val="20"/>
              </w:rPr>
              <w:t>22</w:t>
            </w:r>
          </w:p>
        </w:tc>
        <w:tc>
          <w:tcPr>
            <w:tcW w:w="1592" w:type="dxa"/>
          </w:tcPr>
          <w:p w:rsidR="00E67FEC" w:rsidRPr="000C161B" w:rsidRDefault="00E67FEC" w:rsidP="00E67FEC">
            <w:pPr>
              <w:rPr>
                <w:rFonts w:ascii="Times New Roman" w:hAnsi="Times New Roman" w:cs="Times New Roman"/>
                <w:b/>
                <w:sz w:val="20"/>
                <w:szCs w:val="20"/>
              </w:rPr>
            </w:pPr>
            <w:r w:rsidRPr="000C161B">
              <w:rPr>
                <w:rFonts w:ascii="Times New Roman" w:hAnsi="Times New Roman" w:cs="Times New Roman"/>
                <w:b/>
                <w:sz w:val="20"/>
                <w:szCs w:val="20"/>
              </w:rPr>
              <w:t>85,6</w:t>
            </w:r>
          </w:p>
        </w:tc>
        <w:tc>
          <w:tcPr>
            <w:tcW w:w="1876" w:type="dxa"/>
          </w:tcPr>
          <w:p w:rsidR="00E67FEC" w:rsidRPr="000C161B" w:rsidRDefault="00E67FEC" w:rsidP="00E67FEC">
            <w:pPr>
              <w:rPr>
                <w:rFonts w:ascii="Times New Roman" w:hAnsi="Times New Roman" w:cs="Times New Roman"/>
                <w:b/>
                <w:sz w:val="20"/>
                <w:szCs w:val="20"/>
              </w:rPr>
            </w:pPr>
            <w:r w:rsidRPr="000C161B">
              <w:rPr>
                <w:rFonts w:ascii="Times New Roman" w:hAnsi="Times New Roman" w:cs="Times New Roman"/>
                <w:b/>
                <w:sz w:val="20"/>
                <w:szCs w:val="20"/>
              </w:rPr>
              <w:t>- 3%</w:t>
            </w:r>
          </w:p>
        </w:tc>
      </w:tr>
      <w:tr w:rsidR="00E67FEC" w:rsidTr="00E67FEC">
        <w:tc>
          <w:tcPr>
            <w:tcW w:w="3740" w:type="dxa"/>
          </w:tcPr>
          <w:p w:rsidR="00E67FEC" w:rsidRPr="000C161B" w:rsidRDefault="00E67FEC" w:rsidP="00E67FEC">
            <w:pPr>
              <w:rPr>
                <w:rFonts w:ascii="Times New Roman" w:hAnsi="Times New Roman" w:cs="Times New Roman"/>
                <w:sz w:val="20"/>
                <w:szCs w:val="20"/>
              </w:rPr>
            </w:pPr>
            <w:r>
              <w:rPr>
                <w:rFonts w:ascii="Times New Roman" w:hAnsi="Times New Roman" w:cs="Times New Roman"/>
                <w:sz w:val="20"/>
                <w:szCs w:val="20"/>
              </w:rPr>
              <w:t>P</w:t>
            </w:r>
            <w:r w:rsidRPr="000C161B">
              <w:rPr>
                <w:rFonts w:ascii="Times New Roman" w:hAnsi="Times New Roman" w:cs="Times New Roman"/>
                <w:sz w:val="20"/>
                <w:szCs w:val="20"/>
              </w:rPr>
              <w:t>assagers (en millions</w:t>
            </w:r>
            <w:r w:rsidR="00B736E7">
              <w:rPr>
                <w:rFonts w:ascii="Times New Roman" w:hAnsi="Times New Roman" w:cs="Times New Roman"/>
                <w:sz w:val="20"/>
                <w:szCs w:val="20"/>
              </w:rPr>
              <w:t xml:space="preserve"> </w:t>
            </w:r>
            <w:r w:rsidRPr="000C161B">
              <w:rPr>
                <w:rFonts w:ascii="Times New Roman" w:hAnsi="Times New Roman" w:cs="Times New Roman"/>
                <w:sz w:val="20"/>
                <w:szCs w:val="20"/>
              </w:rPr>
              <w:t>/ escales)</w:t>
            </w:r>
          </w:p>
        </w:tc>
        <w:tc>
          <w:tcPr>
            <w:tcW w:w="1161" w:type="dxa"/>
          </w:tcPr>
          <w:p w:rsidR="00E67FEC" w:rsidRPr="000C161B" w:rsidRDefault="00E67FEC" w:rsidP="00E67FEC">
            <w:pPr>
              <w:rPr>
                <w:rFonts w:ascii="Times New Roman" w:hAnsi="Times New Roman" w:cs="Times New Roman"/>
                <w:sz w:val="20"/>
                <w:szCs w:val="20"/>
              </w:rPr>
            </w:pPr>
          </w:p>
        </w:tc>
        <w:tc>
          <w:tcPr>
            <w:tcW w:w="1412" w:type="dxa"/>
          </w:tcPr>
          <w:p w:rsidR="00E67FEC" w:rsidRPr="000C161B" w:rsidRDefault="00E67FEC" w:rsidP="00E67FEC">
            <w:pPr>
              <w:rPr>
                <w:rFonts w:ascii="Times New Roman" w:hAnsi="Times New Roman" w:cs="Times New Roman"/>
                <w:sz w:val="20"/>
                <w:szCs w:val="20"/>
              </w:rPr>
            </w:pPr>
          </w:p>
        </w:tc>
        <w:tc>
          <w:tcPr>
            <w:tcW w:w="1592" w:type="dxa"/>
          </w:tcPr>
          <w:p w:rsidR="00E67FEC" w:rsidRPr="000C161B" w:rsidRDefault="00E67FEC" w:rsidP="00E67FEC">
            <w:pPr>
              <w:rPr>
                <w:rFonts w:ascii="Times New Roman" w:hAnsi="Times New Roman" w:cs="Times New Roman"/>
                <w:sz w:val="20"/>
                <w:szCs w:val="20"/>
              </w:rPr>
            </w:pPr>
            <w:r w:rsidRPr="00B736E7">
              <w:rPr>
                <w:rFonts w:ascii="Times New Roman" w:hAnsi="Times New Roman" w:cs="Times New Roman"/>
                <w:b/>
                <w:sz w:val="20"/>
                <w:szCs w:val="20"/>
              </w:rPr>
              <w:t>2,4</w:t>
            </w:r>
            <w:r w:rsidR="00B736E7">
              <w:rPr>
                <w:rFonts w:ascii="Times New Roman" w:hAnsi="Times New Roman" w:cs="Times New Roman"/>
                <w:sz w:val="20"/>
                <w:szCs w:val="20"/>
              </w:rPr>
              <w:t xml:space="preserve"> </w:t>
            </w:r>
            <w:r w:rsidRPr="000C161B">
              <w:rPr>
                <w:rFonts w:ascii="Times New Roman" w:hAnsi="Times New Roman" w:cs="Times New Roman"/>
                <w:sz w:val="20"/>
                <w:szCs w:val="20"/>
              </w:rPr>
              <w:t xml:space="preserve">/ </w:t>
            </w:r>
            <w:r w:rsidRPr="00B736E7">
              <w:rPr>
                <w:rFonts w:ascii="Times New Roman" w:hAnsi="Times New Roman" w:cs="Times New Roman"/>
                <w:b/>
                <w:sz w:val="20"/>
                <w:szCs w:val="20"/>
              </w:rPr>
              <w:t xml:space="preserve"> 15 670</w:t>
            </w:r>
          </w:p>
        </w:tc>
        <w:tc>
          <w:tcPr>
            <w:tcW w:w="1876" w:type="dxa"/>
          </w:tcPr>
          <w:p w:rsidR="00E67FEC" w:rsidRPr="000C161B" w:rsidRDefault="00E67FEC" w:rsidP="00E67FEC">
            <w:pPr>
              <w:rPr>
                <w:rFonts w:ascii="Times New Roman" w:hAnsi="Times New Roman" w:cs="Times New Roman"/>
                <w:sz w:val="20"/>
                <w:szCs w:val="20"/>
              </w:rPr>
            </w:pPr>
            <w:r w:rsidRPr="000C161B">
              <w:rPr>
                <w:rFonts w:ascii="Times New Roman" w:hAnsi="Times New Roman" w:cs="Times New Roman"/>
                <w:sz w:val="20"/>
                <w:szCs w:val="20"/>
              </w:rPr>
              <w:t>+ 4%</w:t>
            </w:r>
          </w:p>
        </w:tc>
      </w:tr>
    </w:tbl>
    <w:p w:rsidR="00D31BF4" w:rsidRDefault="00D31BF4" w:rsidP="00BF2418"/>
    <w:p w:rsidR="00D31BF4" w:rsidRDefault="00B736E7" w:rsidP="00D31BF4">
      <w:r>
        <w:t xml:space="preserve"> </w:t>
      </w:r>
    </w:p>
    <w:sectPr w:rsidR="00D31BF4" w:rsidSect="000C161B">
      <w:pgSz w:w="11906" w:h="16838"/>
      <w:pgMar w:top="426" w:right="849"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09B"/>
    <w:multiLevelType w:val="hybridMultilevel"/>
    <w:tmpl w:val="46D02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964401"/>
    <w:multiLevelType w:val="hybridMultilevel"/>
    <w:tmpl w:val="545E1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E109F9"/>
    <w:multiLevelType w:val="hybridMultilevel"/>
    <w:tmpl w:val="91D06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4B4F2B"/>
    <w:multiLevelType w:val="multilevel"/>
    <w:tmpl w:val="B76A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F2418"/>
    <w:rsid w:val="000969B8"/>
    <w:rsid w:val="000C161B"/>
    <w:rsid w:val="00120C9F"/>
    <w:rsid w:val="001638CE"/>
    <w:rsid w:val="00233331"/>
    <w:rsid w:val="00371422"/>
    <w:rsid w:val="00511DD5"/>
    <w:rsid w:val="006757A7"/>
    <w:rsid w:val="008932C2"/>
    <w:rsid w:val="00B736E7"/>
    <w:rsid w:val="00BF0632"/>
    <w:rsid w:val="00BF2418"/>
    <w:rsid w:val="00CC45BF"/>
    <w:rsid w:val="00D31BF4"/>
    <w:rsid w:val="00DA7C03"/>
    <w:rsid w:val="00E5126E"/>
    <w:rsid w:val="00E67F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24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418"/>
    <w:rPr>
      <w:rFonts w:ascii="Tahoma" w:hAnsi="Tahoma" w:cs="Tahoma"/>
      <w:sz w:val="16"/>
      <w:szCs w:val="16"/>
    </w:rPr>
  </w:style>
  <w:style w:type="character" w:customStyle="1" w:styleId="apple-converted-space">
    <w:name w:val="apple-converted-space"/>
    <w:basedOn w:val="Policepardfaut"/>
    <w:rsid w:val="00BF2418"/>
  </w:style>
  <w:style w:type="character" w:styleId="Lienhypertexte">
    <w:name w:val="Hyperlink"/>
    <w:basedOn w:val="Policepardfaut"/>
    <w:uiPriority w:val="99"/>
    <w:semiHidden/>
    <w:unhideWhenUsed/>
    <w:rsid w:val="00BF2418"/>
    <w:rPr>
      <w:color w:val="0000FF"/>
      <w:u w:val="single"/>
    </w:rPr>
  </w:style>
  <w:style w:type="paragraph" w:styleId="NormalWeb">
    <w:name w:val="Normal (Web)"/>
    <w:basedOn w:val="Normal"/>
    <w:uiPriority w:val="99"/>
    <w:unhideWhenUsed/>
    <w:rsid w:val="00BF24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2418"/>
    <w:rPr>
      <w:b/>
      <w:bCs/>
    </w:rPr>
  </w:style>
  <w:style w:type="table" w:styleId="Grilledutableau">
    <w:name w:val="Table Grid"/>
    <w:basedOn w:val="TableauNormal"/>
    <w:uiPriority w:val="59"/>
    <w:rsid w:val="00371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71422"/>
    <w:pPr>
      <w:ind w:left="720"/>
      <w:contextualSpacing/>
    </w:pPr>
  </w:style>
</w:styles>
</file>

<file path=word/webSettings.xml><?xml version="1.0" encoding="utf-8"?>
<w:webSettings xmlns:r="http://schemas.openxmlformats.org/officeDocument/2006/relationships" xmlns:w="http://schemas.openxmlformats.org/wordprocessingml/2006/main">
  <w:divs>
    <w:div w:id="1729916863">
      <w:bodyDiv w:val="1"/>
      <w:marLeft w:val="0"/>
      <w:marRight w:val="0"/>
      <w:marTop w:val="0"/>
      <w:marBottom w:val="0"/>
      <w:divBdr>
        <w:top w:val="none" w:sz="0" w:space="0" w:color="auto"/>
        <w:left w:val="none" w:sz="0" w:space="0" w:color="auto"/>
        <w:bottom w:val="none" w:sz="0" w:space="0" w:color="auto"/>
        <w:right w:val="none" w:sz="0" w:space="0" w:color="auto"/>
      </w:divBdr>
      <w:divsChild>
        <w:div w:id="924265491">
          <w:marLeft w:val="0"/>
          <w:marRight w:val="0"/>
          <w:marTop w:val="0"/>
          <w:marBottom w:val="0"/>
          <w:divBdr>
            <w:top w:val="none" w:sz="0" w:space="0" w:color="auto"/>
            <w:left w:val="none" w:sz="0" w:space="0" w:color="auto"/>
            <w:bottom w:val="none" w:sz="0" w:space="0" w:color="auto"/>
            <w:right w:val="none" w:sz="0" w:space="0" w:color="auto"/>
          </w:divBdr>
          <w:divsChild>
            <w:div w:id="1733652686">
              <w:marLeft w:val="0"/>
              <w:marRight w:val="0"/>
              <w:marTop w:val="0"/>
              <w:marBottom w:val="0"/>
              <w:divBdr>
                <w:top w:val="none" w:sz="0" w:space="0" w:color="auto"/>
                <w:left w:val="none" w:sz="0" w:space="0" w:color="auto"/>
                <w:bottom w:val="none" w:sz="0" w:space="0" w:color="auto"/>
                <w:right w:val="none" w:sz="0" w:space="0" w:color="auto"/>
              </w:divBdr>
            </w:div>
          </w:divsChild>
        </w:div>
        <w:div w:id="211369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eille-port.fr/fr/Page/Le%20Port%20de%20Marseille%20Fos%20aujourd'hui/10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3</cp:revision>
  <cp:lastPrinted>2013-05-31T08:43:00Z</cp:lastPrinted>
  <dcterms:created xsi:type="dcterms:W3CDTF">2013-05-31T08:44:00Z</dcterms:created>
  <dcterms:modified xsi:type="dcterms:W3CDTF">2013-05-31T08:45:00Z</dcterms:modified>
</cp:coreProperties>
</file>